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672158" w14:textId="5BFFA27A" w:rsidR="00673FA6" w:rsidRDefault="001B2AB7">
      <w:pPr>
        <w:pStyle w:val="Title"/>
      </w:pPr>
      <w:r>
        <w:t xml:space="preserve">Template for the proceedings of the </w:t>
      </w:r>
      <w:r w:rsidR="0021674E">
        <w:t>20</w:t>
      </w:r>
      <w:r w:rsidR="00AE0E61">
        <w:t>2</w:t>
      </w:r>
      <w:r w:rsidR="00DA4A1F">
        <w:t>6</w:t>
      </w:r>
      <w:r w:rsidR="00AE0E61">
        <w:t xml:space="preserve"> </w:t>
      </w:r>
      <w:r>
        <w:t xml:space="preserve">ASNZ conference, </w:t>
      </w:r>
      <w:r w:rsidR="00DA4A1F">
        <w:t>Tauranga</w:t>
      </w:r>
      <w:r>
        <w:t xml:space="preserve"> – 10 pages maximum</w:t>
      </w:r>
    </w:p>
    <w:p w14:paraId="35772528" w14:textId="77777777" w:rsidR="00673FA6" w:rsidRDefault="001B2AB7">
      <w:pPr>
        <w:pBdr>
          <w:top w:val="nil"/>
          <w:left w:val="nil"/>
          <w:bottom w:val="nil"/>
          <w:right w:val="nil"/>
          <w:between w:val="nil"/>
        </w:pBdr>
        <w:spacing w:before="120"/>
        <w:jc w:val="center"/>
        <w:rPr>
          <w:rFonts w:ascii="Arial" w:eastAsia="Arial" w:hAnsi="Arial" w:cs="Arial"/>
          <w:b/>
          <w:color w:val="000000"/>
          <w:sz w:val="24"/>
          <w:szCs w:val="24"/>
        </w:rPr>
      </w:pPr>
      <w:r>
        <w:rPr>
          <w:rFonts w:ascii="Arial" w:eastAsia="Arial" w:hAnsi="Arial" w:cs="Arial"/>
          <w:b/>
          <w:color w:val="000000"/>
          <w:sz w:val="24"/>
          <w:szCs w:val="24"/>
        </w:rPr>
        <w:t xml:space="preserve">First author </w:t>
      </w:r>
      <w:r>
        <w:rPr>
          <w:rFonts w:ascii="Arial" w:eastAsia="Arial" w:hAnsi="Arial" w:cs="Arial"/>
          <w:b/>
          <w:color w:val="000000"/>
          <w:sz w:val="24"/>
          <w:szCs w:val="24"/>
          <w:vertAlign w:val="superscript"/>
        </w:rPr>
        <w:t>(1)</w:t>
      </w:r>
      <w:r>
        <w:rPr>
          <w:rFonts w:ascii="Arial" w:eastAsia="Arial" w:hAnsi="Arial" w:cs="Arial"/>
          <w:b/>
          <w:color w:val="000000"/>
          <w:sz w:val="24"/>
          <w:szCs w:val="24"/>
        </w:rPr>
        <w:t xml:space="preserve">, Second author </w:t>
      </w:r>
      <w:r>
        <w:rPr>
          <w:rFonts w:ascii="Arial" w:eastAsia="Arial" w:hAnsi="Arial" w:cs="Arial"/>
          <w:b/>
          <w:color w:val="000000"/>
          <w:sz w:val="24"/>
          <w:szCs w:val="24"/>
          <w:vertAlign w:val="superscript"/>
        </w:rPr>
        <w:t>(1)</w:t>
      </w:r>
      <w:r>
        <w:rPr>
          <w:rFonts w:ascii="Arial" w:eastAsia="Arial" w:hAnsi="Arial" w:cs="Arial"/>
          <w:b/>
          <w:color w:val="000000"/>
          <w:sz w:val="24"/>
          <w:szCs w:val="24"/>
        </w:rPr>
        <w:t xml:space="preserve"> and Last Author </w:t>
      </w:r>
      <w:r>
        <w:rPr>
          <w:rFonts w:ascii="Arial" w:eastAsia="Arial" w:hAnsi="Arial" w:cs="Arial"/>
          <w:b/>
          <w:color w:val="000000"/>
          <w:sz w:val="24"/>
          <w:szCs w:val="24"/>
          <w:vertAlign w:val="superscript"/>
        </w:rPr>
        <w:t>(2)</w:t>
      </w:r>
    </w:p>
    <w:p w14:paraId="36D9307F" w14:textId="77777777" w:rsidR="00673FA6" w:rsidRDefault="001B2AB7">
      <w:pPr>
        <w:pBdr>
          <w:top w:val="nil"/>
          <w:left w:val="nil"/>
          <w:bottom w:val="nil"/>
          <w:right w:val="nil"/>
          <w:between w:val="nil"/>
        </w:pBdr>
        <w:spacing w:before="120"/>
        <w:jc w:val="center"/>
        <w:rPr>
          <w:color w:val="000000"/>
          <w:sz w:val="18"/>
          <w:szCs w:val="18"/>
        </w:rPr>
      </w:pPr>
      <w:r>
        <w:rPr>
          <w:color w:val="000000"/>
          <w:sz w:val="18"/>
          <w:szCs w:val="18"/>
        </w:rPr>
        <w:t>(1) Affiliation, address, city first and second authors</w:t>
      </w:r>
      <w:r>
        <w:rPr>
          <w:color w:val="000000"/>
          <w:sz w:val="18"/>
          <w:szCs w:val="18"/>
        </w:rPr>
        <w:br/>
        <w:t>Email of corresponding author</w:t>
      </w:r>
    </w:p>
    <w:p w14:paraId="45263E1F" w14:textId="77777777" w:rsidR="00673FA6" w:rsidRDefault="001B2AB7">
      <w:pPr>
        <w:pBdr>
          <w:top w:val="nil"/>
          <w:left w:val="nil"/>
          <w:bottom w:val="nil"/>
          <w:right w:val="nil"/>
          <w:between w:val="nil"/>
        </w:pBdr>
        <w:spacing w:before="120"/>
        <w:jc w:val="center"/>
        <w:rPr>
          <w:color w:val="000000"/>
          <w:sz w:val="18"/>
          <w:szCs w:val="18"/>
        </w:rPr>
      </w:pPr>
      <w:r>
        <w:rPr>
          <w:color w:val="000000"/>
          <w:sz w:val="18"/>
          <w:szCs w:val="18"/>
        </w:rPr>
        <w:t>(2) Affiliation, address, city last author</w:t>
      </w:r>
    </w:p>
    <w:p w14:paraId="6729F7C3" w14:textId="77777777" w:rsidR="00673FA6" w:rsidRDefault="001B2AB7">
      <w:pPr>
        <w:keepNext/>
        <w:pBdr>
          <w:top w:val="nil"/>
          <w:left w:val="nil"/>
          <w:bottom w:val="nil"/>
          <w:right w:val="nil"/>
          <w:between w:val="nil"/>
        </w:pBdr>
        <w:spacing w:before="360" w:after="180"/>
        <w:jc w:val="left"/>
        <w:rPr>
          <w:rFonts w:ascii="Arial" w:eastAsia="Arial" w:hAnsi="Arial" w:cs="Arial"/>
          <w:b/>
          <w:smallCaps/>
          <w:color w:val="000000"/>
        </w:rPr>
      </w:pPr>
      <w:r>
        <w:rPr>
          <w:rFonts w:ascii="Arial" w:eastAsia="Arial" w:hAnsi="Arial" w:cs="Arial"/>
          <w:b/>
          <w:smallCaps/>
          <w:color w:val="000000"/>
        </w:rPr>
        <w:t>ABSTRACT</w:t>
      </w:r>
    </w:p>
    <w:p w14:paraId="5012DF23" w14:textId="65827FEE" w:rsidR="00673FA6" w:rsidRDefault="001B2AB7">
      <w:pPr>
        <w:pBdr>
          <w:top w:val="nil"/>
          <w:left w:val="nil"/>
          <w:bottom w:val="nil"/>
          <w:right w:val="nil"/>
          <w:between w:val="nil"/>
        </w:pBdr>
        <w:spacing w:before="0" w:after="360"/>
        <w:ind w:left="567" w:right="567" w:hanging="567"/>
        <w:rPr>
          <w:color w:val="000000"/>
          <w:sz w:val="18"/>
          <w:szCs w:val="18"/>
        </w:rPr>
      </w:pPr>
      <w:r>
        <w:rPr>
          <w:color w:val="000000"/>
          <w:sz w:val="18"/>
          <w:szCs w:val="18"/>
        </w:rPr>
        <w:t xml:space="preserve">In this paper, we describe the formatting of papers for the Conference of the Acoustical Society of New Zealand. Body text of the abstract should be </w:t>
      </w:r>
      <w:r>
        <w:rPr>
          <w:sz w:val="18"/>
          <w:szCs w:val="18"/>
        </w:rPr>
        <w:t>9</w:t>
      </w:r>
      <w:r>
        <w:rPr>
          <w:color w:val="000000"/>
          <w:sz w:val="18"/>
          <w:szCs w:val="18"/>
        </w:rPr>
        <w:t xml:space="preserve"> pt. Times New Roman.</w:t>
      </w:r>
    </w:p>
    <w:p w14:paraId="7F071FBF" w14:textId="77777777" w:rsidR="00673FA6" w:rsidRDefault="00673FA6">
      <w:pPr>
        <w:pStyle w:val="Heading1"/>
        <w:sectPr w:rsidR="00673FA6">
          <w:headerReference w:type="even" r:id="rId10"/>
          <w:headerReference w:type="default" r:id="rId11"/>
          <w:footerReference w:type="even" r:id="rId12"/>
          <w:footerReference w:type="default" r:id="rId13"/>
          <w:headerReference w:type="first" r:id="rId14"/>
          <w:footerReference w:type="first" r:id="rId15"/>
          <w:pgSz w:w="11909" w:h="16834"/>
          <w:pgMar w:top="709" w:right="992" w:bottom="709" w:left="992" w:header="720" w:footer="720" w:gutter="0"/>
          <w:pgNumType w:start="1"/>
          <w:cols w:space="720"/>
        </w:sectPr>
      </w:pPr>
    </w:p>
    <w:p w14:paraId="4F59E104" w14:textId="77777777" w:rsidR="00673FA6" w:rsidRDefault="001B2AB7">
      <w:pPr>
        <w:keepNext/>
        <w:pBdr>
          <w:top w:val="nil"/>
          <w:left w:val="nil"/>
          <w:bottom w:val="nil"/>
          <w:right w:val="nil"/>
          <w:between w:val="nil"/>
        </w:pBdr>
        <w:spacing w:before="0"/>
        <w:jc w:val="left"/>
        <w:rPr>
          <w:rFonts w:ascii="Arial" w:eastAsia="Arial" w:hAnsi="Arial" w:cs="Arial"/>
          <w:b/>
          <w:smallCaps/>
          <w:color w:val="000000"/>
        </w:rPr>
      </w:pPr>
      <w:r>
        <w:rPr>
          <w:rFonts w:ascii="Arial" w:eastAsia="Arial" w:hAnsi="Arial" w:cs="Arial"/>
          <w:b/>
          <w:smallCaps/>
          <w:color w:val="000000"/>
        </w:rPr>
        <w:t>INTRODUCTION</w:t>
      </w:r>
    </w:p>
    <w:p w14:paraId="4238C566" w14:textId="77777777" w:rsidR="002F5C32" w:rsidRDefault="001B2AB7">
      <w:bookmarkStart w:id="0" w:name="_gjdgxs" w:colFirst="0" w:colLast="0"/>
      <w:bookmarkEnd w:id="0"/>
      <w:r>
        <w:t xml:space="preserve">The proceedings are the records of the conference. We are hoping to give these proceedings a single, high-quality appearance. To do this, we ask that authors follow some simple guidelines. In essence, we ask you to make your paper look exactly like this document. The easiest way to do this is simply to type your text directly in this document and save it appropriately. </w:t>
      </w:r>
    </w:p>
    <w:p w14:paraId="461A2F65" w14:textId="22F23DC7" w:rsidR="00673FA6" w:rsidRDefault="00135F0E">
      <w:r>
        <w:t xml:space="preserve">Save the document as: </w:t>
      </w:r>
      <w:r w:rsidR="001B2AB7">
        <w:t>surname_ f</w:t>
      </w:r>
      <w:r w:rsidR="00E93EB3">
        <w:t>ullpaper</w:t>
      </w:r>
      <w:r w:rsidR="001B2AB7">
        <w:t>.doc</w:t>
      </w:r>
      <w:r w:rsidR="007114A2">
        <w:t xml:space="preserve"> (if you are submitting more than 1 </w:t>
      </w:r>
      <w:proofErr w:type="gramStart"/>
      <w:r w:rsidR="007114A2">
        <w:t>paper</w:t>
      </w:r>
      <w:proofErr w:type="gramEnd"/>
      <w:r w:rsidR="007114A2">
        <w:t xml:space="preserve"> please use fullpaper1.doc or fullpaper2.doc</w:t>
      </w:r>
      <w:r w:rsidR="00B61031">
        <w:t xml:space="preserve"> to note multiple papers).</w:t>
      </w:r>
    </w:p>
    <w:p w14:paraId="75990078" w14:textId="77777777" w:rsidR="00673FA6" w:rsidRDefault="001B2AB7">
      <w:pPr>
        <w:pStyle w:val="Heading1"/>
      </w:pPr>
      <w:r>
        <w:t>PAGE SIZE &amp; PAGE LIMIT</w:t>
      </w:r>
    </w:p>
    <w:p w14:paraId="09B3E014" w14:textId="77777777" w:rsidR="00673FA6" w:rsidRDefault="001B2AB7">
      <w:r>
        <w:t xml:space="preserve">All material on each page should fit within a rectangle of 17 x 25 cm, </w:t>
      </w:r>
      <w:proofErr w:type="spellStart"/>
      <w:r>
        <w:t>centered</w:t>
      </w:r>
      <w:proofErr w:type="spellEnd"/>
      <w:r>
        <w:t xml:space="preserve"> on the page, beginning 1.9 cm from the top of the page and ending with 2.54 cm from the bottom. The right and left margins should be 1.75 cm.  The text should be in two 7.8 cm columns spaced 1.3 cm apart with a .5 cm gutter. Camera-ready submissions must be 10 pages in length or less.</w:t>
      </w:r>
    </w:p>
    <w:p w14:paraId="54A802B5" w14:textId="77777777" w:rsidR="00673FA6" w:rsidRDefault="001B2AB7">
      <w:pPr>
        <w:pStyle w:val="Heading1"/>
      </w:pPr>
      <w:r>
        <w:t>TEXT &amp; HEADINGS</w:t>
      </w:r>
    </w:p>
    <w:p w14:paraId="4C7CB05F" w14:textId="77777777" w:rsidR="00673FA6" w:rsidRDefault="001B2AB7">
      <w:r>
        <w:t>For body text, please use a 10-point Times Roman font, or other Roman font with serifs, as close as possible in appearance to Times Roman in which these guidelines have been set. The goal is to have a 10-point text, as you see here. Please use sans-serif or non-proportional fonts only for special purposes. If Times New Roman is not available, try the font named Computer Modern Roman. On a Mac, use the font named Times. Right margins should be justified, not ragged.</w:t>
      </w:r>
    </w:p>
    <w:p w14:paraId="66870573" w14:textId="77777777" w:rsidR="00673FA6" w:rsidRDefault="001B2AB7">
      <w:r>
        <w:t>The following is an example of what a bulleted list should look like:</w:t>
      </w:r>
    </w:p>
    <w:p w14:paraId="64E8FDEB" w14:textId="77777777" w:rsidR="00673FA6" w:rsidRDefault="001B2AB7">
      <w:pPr>
        <w:numPr>
          <w:ilvl w:val="0"/>
          <w:numId w:val="1"/>
        </w:numPr>
        <w:ind w:left="426"/>
      </w:pPr>
      <w:r>
        <w:t xml:space="preserve">All bullets should start at the same point. </w:t>
      </w:r>
    </w:p>
    <w:p w14:paraId="596204D9" w14:textId="77777777" w:rsidR="00673FA6" w:rsidRDefault="001B2AB7">
      <w:pPr>
        <w:numPr>
          <w:ilvl w:val="0"/>
          <w:numId w:val="1"/>
        </w:numPr>
        <w:ind w:left="426"/>
      </w:pPr>
      <w:r>
        <w:t>Spacing between the bullets can vary to produce good column and page breaks.</w:t>
      </w:r>
    </w:p>
    <w:p w14:paraId="2060E8ED" w14:textId="77777777" w:rsidR="00673FA6" w:rsidRDefault="001B2AB7">
      <w:pPr>
        <w:numPr>
          <w:ilvl w:val="0"/>
          <w:numId w:val="1"/>
        </w:numPr>
        <w:ind w:left="426"/>
      </w:pPr>
      <w:r>
        <w:t>The use of hanging indent is recommended.</w:t>
      </w:r>
    </w:p>
    <w:p w14:paraId="40D49BBF" w14:textId="77777777" w:rsidR="00673FA6" w:rsidRDefault="001B2AB7">
      <w:pPr>
        <w:numPr>
          <w:ilvl w:val="0"/>
          <w:numId w:val="1"/>
        </w:numPr>
        <w:ind w:left="426"/>
      </w:pPr>
      <w:r>
        <w:t>Numbered lists should follow similar layout</w:t>
      </w:r>
    </w:p>
    <w:p w14:paraId="3767CB73" w14:textId="77777777" w:rsidR="00673FA6" w:rsidRDefault="001B2AB7">
      <w:pPr>
        <w:pStyle w:val="Heading1"/>
      </w:pPr>
      <w:r>
        <w:t>TITLE AND AUTHORS</w:t>
      </w:r>
    </w:p>
    <w:p w14:paraId="23F4C52F" w14:textId="77777777" w:rsidR="00673FA6" w:rsidRDefault="001B2AB7">
      <w:r>
        <w:t>The title (Arial 18-point bold), authors’ names (Arial 12-point-Bold) and affiliations (Times New Roman 9-point) run across the full width of the page. We request the e-mail address for the corresponding author.</w:t>
      </w:r>
    </w:p>
    <w:p w14:paraId="003D5DB7" w14:textId="77777777" w:rsidR="00673FA6" w:rsidRDefault="001B2AB7">
      <w:pPr>
        <w:pStyle w:val="Heading1"/>
      </w:pPr>
      <w:r>
        <w:t>SUBSEQUENT PAGES</w:t>
      </w:r>
    </w:p>
    <w:p w14:paraId="4D40ED74" w14:textId="77777777" w:rsidR="00673FA6" w:rsidRDefault="001B2AB7">
      <w:r>
        <w:t>For pages other than the first page, start at the top of the page, and continue in double-column format. The two columns on the last page should be as close to equal length as possible.</w:t>
      </w:r>
    </w:p>
    <w:p w14:paraId="4EE248EB" w14:textId="77777777" w:rsidR="00673FA6" w:rsidRDefault="001B2AB7">
      <w:pPr>
        <w:pBdr>
          <w:top w:val="nil"/>
          <w:left w:val="nil"/>
          <w:bottom w:val="nil"/>
          <w:right w:val="nil"/>
          <w:between w:val="nil"/>
        </w:pBdr>
        <w:spacing w:before="80" w:after="80"/>
        <w:jc w:val="center"/>
        <w:rPr>
          <w:b/>
          <w:color w:val="000000"/>
          <w:sz w:val="18"/>
          <w:szCs w:val="18"/>
        </w:rPr>
      </w:pPr>
      <w:r>
        <w:rPr>
          <w:b/>
          <w:color w:val="000000"/>
          <w:sz w:val="18"/>
          <w:szCs w:val="18"/>
        </w:rPr>
        <w:t>Table 1. Example of table.</w:t>
      </w:r>
    </w:p>
    <w:tbl>
      <w:tblPr>
        <w:tblW w:w="4460" w:type="dxa"/>
        <w:tblBorders>
          <w:top w:val="single" w:sz="4" w:space="0" w:color="000000"/>
          <w:bottom w:val="single" w:sz="4" w:space="0" w:color="000000"/>
          <w:insideH w:val="single" w:sz="4" w:space="0" w:color="000000"/>
        </w:tblBorders>
        <w:tblLayout w:type="fixed"/>
        <w:tblCellMar>
          <w:left w:w="115" w:type="dxa"/>
          <w:right w:w="115" w:type="dxa"/>
        </w:tblCellMar>
        <w:tblLook w:val="0000" w:firstRow="0" w:lastRow="0" w:firstColumn="0" w:lastColumn="0" w:noHBand="0" w:noVBand="0"/>
      </w:tblPr>
      <w:tblGrid>
        <w:gridCol w:w="1482"/>
        <w:gridCol w:w="1489"/>
        <w:gridCol w:w="1489"/>
      </w:tblGrid>
      <w:tr w:rsidR="00673FA6" w14:paraId="0A416124" w14:textId="77777777">
        <w:tc>
          <w:tcPr>
            <w:tcW w:w="1482" w:type="dxa"/>
            <w:vAlign w:val="center"/>
          </w:tcPr>
          <w:p w14:paraId="5A143610" w14:textId="77777777" w:rsidR="00673FA6" w:rsidRDefault="001B2AB7">
            <w:pPr>
              <w:pBdr>
                <w:top w:val="nil"/>
                <w:left w:val="nil"/>
                <w:bottom w:val="nil"/>
                <w:right w:val="nil"/>
                <w:between w:val="nil"/>
              </w:pBdr>
              <w:spacing w:before="80" w:after="80"/>
              <w:jc w:val="center"/>
              <w:rPr>
                <w:color w:val="000000"/>
                <w:sz w:val="18"/>
                <w:szCs w:val="18"/>
              </w:rPr>
            </w:pPr>
            <w:r>
              <w:rPr>
                <w:color w:val="000000"/>
                <w:sz w:val="18"/>
                <w:szCs w:val="18"/>
              </w:rPr>
              <w:t>List 1</w:t>
            </w:r>
          </w:p>
        </w:tc>
        <w:tc>
          <w:tcPr>
            <w:tcW w:w="1489" w:type="dxa"/>
            <w:vAlign w:val="center"/>
          </w:tcPr>
          <w:p w14:paraId="546AE3B8" w14:textId="77777777" w:rsidR="00673FA6" w:rsidRDefault="001B2AB7">
            <w:pPr>
              <w:pBdr>
                <w:top w:val="nil"/>
                <w:left w:val="nil"/>
                <w:bottom w:val="nil"/>
                <w:right w:val="nil"/>
                <w:between w:val="nil"/>
              </w:pBdr>
              <w:spacing w:before="80" w:after="80"/>
              <w:jc w:val="center"/>
              <w:rPr>
                <w:color w:val="000000"/>
                <w:sz w:val="18"/>
                <w:szCs w:val="18"/>
              </w:rPr>
            </w:pPr>
            <w:r>
              <w:rPr>
                <w:color w:val="000000"/>
                <w:sz w:val="18"/>
                <w:szCs w:val="18"/>
              </w:rPr>
              <w:t>List 2</w:t>
            </w:r>
          </w:p>
        </w:tc>
        <w:tc>
          <w:tcPr>
            <w:tcW w:w="1489" w:type="dxa"/>
            <w:vAlign w:val="center"/>
          </w:tcPr>
          <w:p w14:paraId="23AEF6DE" w14:textId="77777777" w:rsidR="00673FA6" w:rsidRDefault="001B2AB7">
            <w:pPr>
              <w:pBdr>
                <w:top w:val="nil"/>
                <w:left w:val="nil"/>
                <w:bottom w:val="nil"/>
                <w:right w:val="nil"/>
                <w:between w:val="nil"/>
              </w:pBdr>
              <w:spacing w:before="80" w:after="80"/>
              <w:jc w:val="center"/>
              <w:rPr>
                <w:color w:val="000000"/>
                <w:sz w:val="18"/>
                <w:szCs w:val="18"/>
              </w:rPr>
            </w:pPr>
            <w:r>
              <w:rPr>
                <w:color w:val="000000"/>
                <w:sz w:val="18"/>
                <w:szCs w:val="18"/>
              </w:rPr>
              <w:t>List 3</w:t>
            </w:r>
          </w:p>
        </w:tc>
      </w:tr>
      <w:tr w:rsidR="00673FA6" w14:paraId="6BAE2A10" w14:textId="77777777">
        <w:tc>
          <w:tcPr>
            <w:tcW w:w="1482" w:type="dxa"/>
            <w:vAlign w:val="center"/>
          </w:tcPr>
          <w:p w14:paraId="0938684A" w14:textId="77777777" w:rsidR="00673FA6" w:rsidRDefault="001B2AB7">
            <w:pPr>
              <w:pBdr>
                <w:top w:val="nil"/>
                <w:left w:val="nil"/>
                <w:bottom w:val="nil"/>
                <w:right w:val="nil"/>
                <w:between w:val="nil"/>
              </w:pBdr>
              <w:spacing w:before="80" w:after="80"/>
              <w:jc w:val="center"/>
              <w:rPr>
                <w:color w:val="000000"/>
                <w:sz w:val="18"/>
                <w:szCs w:val="18"/>
              </w:rPr>
            </w:pPr>
            <w:r>
              <w:rPr>
                <w:color w:val="000000"/>
                <w:sz w:val="18"/>
                <w:szCs w:val="18"/>
              </w:rPr>
              <w:t>A</w:t>
            </w:r>
          </w:p>
        </w:tc>
        <w:tc>
          <w:tcPr>
            <w:tcW w:w="1489" w:type="dxa"/>
            <w:vAlign w:val="center"/>
          </w:tcPr>
          <w:p w14:paraId="540599ED" w14:textId="77777777" w:rsidR="00673FA6" w:rsidRDefault="001B2AB7">
            <w:pPr>
              <w:pBdr>
                <w:top w:val="nil"/>
                <w:left w:val="nil"/>
                <w:bottom w:val="nil"/>
                <w:right w:val="nil"/>
                <w:between w:val="nil"/>
              </w:pBdr>
              <w:spacing w:before="80" w:after="80"/>
              <w:jc w:val="center"/>
              <w:rPr>
                <w:color w:val="000000"/>
                <w:sz w:val="18"/>
                <w:szCs w:val="18"/>
              </w:rPr>
            </w:pPr>
            <w:proofErr w:type="spellStart"/>
            <w:r>
              <w:rPr>
                <w:color w:val="000000"/>
                <w:sz w:val="18"/>
                <w:szCs w:val="18"/>
              </w:rPr>
              <w:t>Colors</w:t>
            </w:r>
            <w:proofErr w:type="spellEnd"/>
            <w:r>
              <w:rPr>
                <w:color w:val="000000"/>
                <w:sz w:val="18"/>
                <w:szCs w:val="18"/>
              </w:rPr>
              <w:t xml:space="preserve"> are OK</w:t>
            </w:r>
          </w:p>
        </w:tc>
        <w:tc>
          <w:tcPr>
            <w:tcW w:w="1489" w:type="dxa"/>
            <w:vAlign w:val="center"/>
          </w:tcPr>
          <w:p w14:paraId="75EEF807" w14:textId="77777777" w:rsidR="00673FA6" w:rsidRDefault="001B2AB7">
            <w:pPr>
              <w:pBdr>
                <w:top w:val="nil"/>
                <w:left w:val="nil"/>
                <w:bottom w:val="nil"/>
                <w:right w:val="nil"/>
                <w:between w:val="nil"/>
              </w:pBdr>
              <w:spacing w:before="80" w:after="80"/>
              <w:jc w:val="center"/>
              <w:rPr>
                <w:color w:val="000000"/>
                <w:sz w:val="18"/>
                <w:szCs w:val="18"/>
              </w:rPr>
            </w:pPr>
            <w:r>
              <w:rPr>
                <w:color w:val="000000"/>
                <w:sz w:val="18"/>
                <w:szCs w:val="18"/>
              </w:rPr>
              <w:t>Bold is OK</w:t>
            </w:r>
          </w:p>
        </w:tc>
      </w:tr>
      <w:tr w:rsidR="00673FA6" w14:paraId="4523ED20" w14:textId="77777777">
        <w:tc>
          <w:tcPr>
            <w:tcW w:w="1482" w:type="dxa"/>
            <w:vAlign w:val="center"/>
          </w:tcPr>
          <w:p w14:paraId="13909C08" w14:textId="77777777" w:rsidR="00673FA6" w:rsidRDefault="001B2AB7">
            <w:pPr>
              <w:pBdr>
                <w:top w:val="nil"/>
                <w:left w:val="nil"/>
                <w:bottom w:val="nil"/>
                <w:right w:val="nil"/>
                <w:between w:val="nil"/>
              </w:pBdr>
              <w:spacing w:before="80" w:after="80"/>
              <w:jc w:val="center"/>
              <w:rPr>
                <w:color w:val="000000"/>
                <w:sz w:val="18"/>
                <w:szCs w:val="18"/>
              </w:rPr>
            </w:pPr>
            <w:r>
              <w:rPr>
                <w:color w:val="000000"/>
                <w:sz w:val="18"/>
                <w:szCs w:val="18"/>
              </w:rPr>
              <w:t>B</w:t>
            </w:r>
          </w:p>
        </w:tc>
        <w:tc>
          <w:tcPr>
            <w:tcW w:w="1489" w:type="dxa"/>
            <w:vAlign w:val="center"/>
          </w:tcPr>
          <w:p w14:paraId="2DBE87E5" w14:textId="77777777" w:rsidR="00673FA6" w:rsidRDefault="001B2AB7">
            <w:pPr>
              <w:pBdr>
                <w:top w:val="nil"/>
                <w:left w:val="nil"/>
                <w:bottom w:val="nil"/>
                <w:right w:val="nil"/>
                <w:between w:val="nil"/>
              </w:pBdr>
              <w:spacing w:before="80" w:after="80"/>
              <w:jc w:val="center"/>
              <w:rPr>
                <w:color w:val="000000"/>
                <w:sz w:val="18"/>
                <w:szCs w:val="18"/>
              </w:rPr>
            </w:pPr>
            <w:r>
              <w:rPr>
                <w:color w:val="000000"/>
                <w:sz w:val="18"/>
                <w:szCs w:val="18"/>
              </w:rPr>
              <w:t>Italic is OK</w:t>
            </w:r>
          </w:p>
        </w:tc>
        <w:tc>
          <w:tcPr>
            <w:tcW w:w="1489" w:type="dxa"/>
            <w:vAlign w:val="center"/>
          </w:tcPr>
          <w:p w14:paraId="01701D62" w14:textId="77777777" w:rsidR="00673FA6" w:rsidRDefault="001B2AB7">
            <w:pPr>
              <w:pBdr>
                <w:top w:val="nil"/>
                <w:left w:val="nil"/>
                <w:bottom w:val="nil"/>
                <w:right w:val="nil"/>
                <w:between w:val="nil"/>
              </w:pBdr>
              <w:spacing w:before="80" w:after="80"/>
              <w:jc w:val="center"/>
              <w:rPr>
                <w:color w:val="000000"/>
                <w:sz w:val="18"/>
                <w:szCs w:val="18"/>
              </w:rPr>
            </w:pPr>
            <w:r>
              <w:rPr>
                <w:color w:val="000000"/>
                <w:sz w:val="18"/>
                <w:szCs w:val="18"/>
              </w:rPr>
              <w:t>Left flush is OK</w:t>
            </w:r>
          </w:p>
        </w:tc>
      </w:tr>
      <w:tr w:rsidR="00673FA6" w14:paraId="74B0A70A" w14:textId="77777777">
        <w:tc>
          <w:tcPr>
            <w:tcW w:w="1482" w:type="dxa"/>
            <w:vAlign w:val="center"/>
          </w:tcPr>
          <w:p w14:paraId="0E4CCB22" w14:textId="77777777" w:rsidR="00673FA6" w:rsidRDefault="001B2AB7">
            <w:pPr>
              <w:pBdr>
                <w:top w:val="nil"/>
                <w:left w:val="nil"/>
                <w:bottom w:val="nil"/>
                <w:right w:val="nil"/>
                <w:between w:val="nil"/>
              </w:pBdr>
              <w:spacing w:before="80" w:after="80"/>
              <w:jc w:val="center"/>
              <w:rPr>
                <w:color w:val="000000"/>
                <w:sz w:val="18"/>
                <w:szCs w:val="18"/>
              </w:rPr>
            </w:pPr>
            <w:r>
              <w:rPr>
                <w:color w:val="000000"/>
                <w:sz w:val="18"/>
                <w:szCs w:val="18"/>
              </w:rPr>
              <w:t>C</w:t>
            </w:r>
          </w:p>
        </w:tc>
        <w:tc>
          <w:tcPr>
            <w:tcW w:w="2978" w:type="dxa"/>
            <w:gridSpan w:val="2"/>
            <w:vAlign w:val="center"/>
          </w:tcPr>
          <w:p w14:paraId="33198283" w14:textId="77777777" w:rsidR="00673FA6" w:rsidRDefault="001B2AB7">
            <w:pPr>
              <w:pBdr>
                <w:top w:val="nil"/>
                <w:left w:val="nil"/>
                <w:bottom w:val="nil"/>
                <w:right w:val="nil"/>
                <w:between w:val="nil"/>
              </w:pBdr>
              <w:spacing w:before="80" w:after="80"/>
              <w:jc w:val="center"/>
              <w:rPr>
                <w:color w:val="000000"/>
                <w:sz w:val="18"/>
                <w:szCs w:val="18"/>
              </w:rPr>
            </w:pPr>
            <w:r>
              <w:rPr>
                <w:color w:val="000000"/>
                <w:sz w:val="18"/>
                <w:szCs w:val="18"/>
              </w:rPr>
              <w:t>Merged cells are OK</w:t>
            </w:r>
          </w:p>
        </w:tc>
      </w:tr>
    </w:tbl>
    <w:p w14:paraId="38052777" w14:textId="77777777" w:rsidR="00673FA6" w:rsidRDefault="001B2AB7">
      <w:pPr>
        <w:pStyle w:val="Heading1"/>
      </w:pPr>
      <w:r>
        <w:t>REFERENCES AND CITATIONS</w:t>
      </w:r>
    </w:p>
    <w:p w14:paraId="38C7CB62" w14:textId="77777777" w:rsidR="00673FA6" w:rsidRDefault="001B2AB7">
      <w:r>
        <w:t>Footnotes should be Times New Roman 8-point, and ragged right. Ragged right was decided because of many web addresses being used.</w:t>
      </w:r>
      <w:r>
        <w:rPr>
          <w:vertAlign w:val="superscript"/>
        </w:rPr>
        <w:footnoteReference w:id="2"/>
      </w:r>
    </w:p>
    <w:p w14:paraId="63D24F8F" w14:textId="77777777" w:rsidR="00673FA6" w:rsidRDefault="001B2AB7">
      <w:r>
        <w:t xml:space="preserve">References should use the IEEE numbered referencing style using numbers in brackets [1]. A list of references must be provided at the end of the paper. The list should be arranged in the order of citation in text, not in alphabetical order. When repeating a citation, use the original citation number allocated to that reference. Further explanation is provided at </w:t>
      </w:r>
      <w:hyperlink r:id="rId16">
        <w:r>
          <w:rPr>
            <w:color w:val="1155CC"/>
            <w:u w:val="single"/>
          </w:rPr>
          <w:t>https://guides.lib.monash.edu/citing-referencing/ieee</w:t>
        </w:r>
      </w:hyperlink>
      <w:r>
        <w:t>. The body text of the citation/references section should be 9 pt. Times New Roman justified.</w:t>
      </w:r>
    </w:p>
    <w:p w14:paraId="1642FC71" w14:textId="77777777" w:rsidR="00673FA6" w:rsidRDefault="001B2AB7">
      <w:r>
        <w:lastRenderedPageBreak/>
        <w:t>References should be published materials accessible to the public. Internal technical reports may be cited only if they are easily accessible (i.e., give the address to obtain the report within your citation) and may be obtained by any reader. Private communications can be acknowledged, not referenced (e.g., “[Robertson, personal communication]”). Proprietary information may not be cited.</w:t>
      </w:r>
    </w:p>
    <w:p w14:paraId="22DB2636" w14:textId="77777777" w:rsidR="00673FA6" w:rsidRDefault="001B2AB7">
      <w:r>
        <w:t>Do not include headers, footers or page numbers in your submission. These will be added when the publications are assembled.</w:t>
      </w:r>
    </w:p>
    <w:p w14:paraId="4C55B112" w14:textId="77777777" w:rsidR="00673FA6" w:rsidRDefault="001B2AB7">
      <w:pPr>
        <w:pStyle w:val="Heading1"/>
      </w:pPr>
      <w:r>
        <w:t xml:space="preserve">FIGURES/CAPTIONS </w:t>
      </w:r>
    </w:p>
    <w:p w14:paraId="0E76D602" w14:textId="77777777" w:rsidR="00673FA6" w:rsidRDefault="001B2AB7">
      <w:r>
        <w:t xml:space="preserve">Place tables/figures/images in text as close to the reference as possible (see Figure 1). Figures may extend across both columns to a maximum width. </w:t>
      </w:r>
      <w:proofErr w:type="spellStart"/>
      <w:r>
        <w:t>Colors</w:t>
      </w:r>
      <w:proofErr w:type="spellEnd"/>
      <w:r>
        <w:t xml:space="preserve"> graphs and figures are acceptable.</w:t>
      </w:r>
    </w:p>
    <w:p w14:paraId="7FFCD5BA" w14:textId="77777777" w:rsidR="00673FA6" w:rsidRDefault="001B2AB7">
      <w:pPr>
        <w:jc w:val="center"/>
        <w:rPr>
          <w:color w:val="C0C0C0"/>
        </w:rPr>
      </w:pPr>
      <w:r>
        <w:rPr>
          <w:noProof/>
          <w:color w:val="C0C0C0"/>
        </w:rPr>
        <w:drawing>
          <wp:inline distT="0" distB="0" distL="0" distR="0" wp14:anchorId="4DC3970C" wp14:editId="63867D73">
            <wp:extent cx="1971675" cy="1466850"/>
            <wp:effectExtent l="0" t="0" r="0" b="0"/>
            <wp:docPr id="1" name="image3.jpg" descr="IMG_4789 small"/>
            <wp:cNvGraphicFramePr/>
            <a:graphic xmlns:a="http://schemas.openxmlformats.org/drawingml/2006/main">
              <a:graphicData uri="http://schemas.openxmlformats.org/drawingml/2006/picture">
                <pic:pic xmlns:pic="http://schemas.openxmlformats.org/drawingml/2006/picture">
                  <pic:nvPicPr>
                    <pic:cNvPr id="0" name="image3.jpg" descr="IMG_4789 small"/>
                    <pic:cNvPicPr preferRelativeResize="0"/>
                  </pic:nvPicPr>
                  <pic:blipFill>
                    <a:blip r:embed="rId17"/>
                    <a:srcRect/>
                    <a:stretch>
                      <a:fillRect/>
                    </a:stretch>
                  </pic:blipFill>
                  <pic:spPr>
                    <a:xfrm>
                      <a:off x="0" y="0"/>
                      <a:ext cx="1971675" cy="1466850"/>
                    </a:xfrm>
                    <a:prstGeom prst="rect">
                      <a:avLst/>
                    </a:prstGeom>
                    <a:ln/>
                  </pic:spPr>
                </pic:pic>
              </a:graphicData>
            </a:graphic>
          </wp:inline>
        </w:drawing>
      </w:r>
    </w:p>
    <w:p w14:paraId="21A039F5" w14:textId="77777777" w:rsidR="00673FA6" w:rsidRDefault="001B2AB7">
      <w:pPr>
        <w:pBdr>
          <w:top w:val="nil"/>
          <w:left w:val="nil"/>
          <w:bottom w:val="nil"/>
          <w:right w:val="nil"/>
          <w:between w:val="nil"/>
        </w:pBdr>
        <w:spacing w:before="0"/>
        <w:jc w:val="center"/>
        <w:rPr>
          <w:b/>
          <w:color w:val="000000"/>
          <w:sz w:val="18"/>
          <w:szCs w:val="18"/>
        </w:rPr>
      </w:pPr>
      <w:r>
        <w:rPr>
          <w:b/>
          <w:color w:val="000000"/>
          <w:sz w:val="18"/>
          <w:szCs w:val="18"/>
        </w:rPr>
        <w:t>Figure 1. An example of Figure caption.</w:t>
      </w:r>
    </w:p>
    <w:p w14:paraId="1ADC295F" w14:textId="77777777" w:rsidR="00673FA6" w:rsidRDefault="001B2AB7">
      <w:r>
        <w:t xml:space="preserve">Captions should be Time New Roman bold 9-point. They should be numbered (e.g., “Table 1” or “Figure 2”). Please note that the words “Table” and “Figure” are spelled out. Figure captions should be </w:t>
      </w:r>
      <w:proofErr w:type="spellStart"/>
      <w:r>
        <w:t>centered</w:t>
      </w:r>
      <w:proofErr w:type="spellEnd"/>
      <w:r>
        <w:t xml:space="preserve"> beneath the image or picture, and table captions should be </w:t>
      </w:r>
      <w:proofErr w:type="spellStart"/>
      <w:r>
        <w:t>centered</w:t>
      </w:r>
      <w:proofErr w:type="spellEnd"/>
      <w:r>
        <w:t xml:space="preserve"> above the table body.</w:t>
      </w:r>
    </w:p>
    <w:p w14:paraId="0B2BF24A" w14:textId="77777777" w:rsidR="00673FA6" w:rsidRDefault="001B2AB7">
      <w:pPr>
        <w:pStyle w:val="Heading1"/>
      </w:pPr>
      <w:r>
        <w:t>SECTION HEADS</w:t>
      </w:r>
    </w:p>
    <w:p w14:paraId="2FFAAD04" w14:textId="77777777" w:rsidR="00673FA6" w:rsidRDefault="001B2AB7">
      <w:r>
        <w:t>The heading of a section should Arial Bold 10-point bold, in all-capitals flush left with an additional 12 points of white space above the section head. Sections and subsequent subsections should flush left.</w:t>
      </w:r>
    </w:p>
    <w:p w14:paraId="3ECC4BC5" w14:textId="77777777" w:rsidR="00673FA6" w:rsidRDefault="001B2AB7">
      <w:pPr>
        <w:pStyle w:val="Heading2"/>
      </w:pPr>
      <w:bookmarkStart w:id="1" w:name="_bvgnepms1hfz" w:colFirst="0" w:colLast="0"/>
      <w:bookmarkEnd w:id="1"/>
      <w:r>
        <w:t>Subsections</w:t>
      </w:r>
    </w:p>
    <w:p w14:paraId="3E838BD3" w14:textId="77777777" w:rsidR="00673FA6" w:rsidRDefault="001B2AB7">
      <w:r>
        <w:t xml:space="preserve">The heading of subsections should be in Arial 10-point bold with only the initial letters capitalized. For subsections and subsubsections, a word like </w:t>
      </w:r>
      <w:r>
        <w:rPr>
          <w:i/>
        </w:rPr>
        <w:t>the</w:t>
      </w:r>
      <w:r>
        <w:t xml:space="preserve"> or </w:t>
      </w:r>
      <w:r>
        <w:rPr>
          <w:i/>
        </w:rPr>
        <w:t>a</w:t>
      </w:r>
      <w:r>
        <w:t xml:space="preserve"> is not capitalized unless it is the first word of the header.</w:t>
      </w:r>
    </w:p>
    <w:p w14:paraId="5797ED86" w14:textId="77777777" w:rsidR="00673FA6" w:rsidRDefault="001B2AB7">
      <w:pPr>
        <w:pStyle w:val="Heading2"/>
        <w:rPr>
          <w:sz w:val="18"/>
          <w:szCs w:val="18"/>
        </w:rPr>
      </w:pPr>
      <w:r>
        <w:rPr>
          <w:sz w:val="18"/>
          <w:szCs w:val="18"/>
        </w:rPr>
        <w:t>Subsubsections</w:t>
      </w:r>
    </w:p>
    <w:p w14:paraId="7A801FA4" w14:textId="77777777" w:rsidR="00673FA6" w:rsidRDefault="001B2AB7">
      <w:r>
        <w:t>The heading for subsubsections should be in Arial 9-point with initial letters capitalized and 6 points of white space above the subsubsection head.</w:t>
      </w:r>
    </w:p>
    <w:p w14:paraId="204AE159" w14:textId="77777777" w:rsidR="00673FA6" w:rsidRDefault="001B2AB7">
      <w:pPr>
        <w:pStyle w:val="Heading1"/>
      </w:pPr>
      <w:r>
        <w:t>EQUATIONS</w:t>
      </w:r>
    </w:p>
    <w:p w14:paraId="73B3D617" w14:textId="77777777" w:rsidR="00673FA6" w:rsidRDefault="001B2AB7">
      <w:r>
        <w:t xml:space="preserve">Equations should be written with an appropriate equation editor (i.e. Microsoft Equation Editor or </w:t>
      </w:r>
      <w:proofErr w:type="spellStart"/>
      <w:r>
        <w:t>MathType</w:t>
      </w:r>
      <w:proofErr w:type="spellEnd"/>
      <w:r>
        <w:t xml:space="preserve">). Equations should be left flushed and numbered in brackets at the end of the line as shown below. </w:t>
      </w:r>
    </w:p>
    <w:p w14:paraId="55292A7D" w14:textId="77777777" w:rsidR="00673FA6" w:rsidRDefault="001B2AB7">
      <w:pPr>
        <w:pBdr>
          <w:top w:val="nil"/>
          <w:left w:val="nil"/>
          <w:bottom w:val="nil"/>
          <w:right w:val="nil"/>
          <w:between w:val="nil"/>
        </w:pBdr>
        <w:tabs>
          <w:tab w:val="left" w:pos="3969"/>
        </w:tabs>
        <w:rPr>
          <w:color w:val="000000"/>
        </w:rPr>
      </w:pPr>
      <w:r>
        <w:rPr>
          <w:noProof/>
          <w:color w:val="000000"/>
          <w:sz w:val="36"/>
          <w:szCs w:val="36"/>
          <w:vertAlign w:val="subscript"/>
        </w:rPr>
        <w:drawing>
          <wp:inline distT="0" distB="0" distL="114300" distR="114300" wp14:anchorId="398799AB" wp14:editId="221EF663">
            <wp:extent cx="1295400" cy="600075"/>
            <wp:effectExtent l="0" t="0" r="0" b="0"/>
            <wp:docPr id="3"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18"/>
                    <a:srcRect/>
                    <a:stretch>
                      <a:fillRect/>
                    </a:stretch>
                  </pic:blipFill>
                  <pic:spPr>
                    <a:xfrm>
                      <a:off x="0" y="0"/>
                      <a:ext cx="1295400" cy="600075"/>
                    </a:xfrm>
                    <a:prstGeom prst="rect">
                      <a:avLst/>
                    </a:prstGeom>
                    <a:ln/>
                  </pic:spPr>
                </pic:pic>
              </a:graphicData>
            </a:graphic>
          </wp:inline>
        </w:drawing>
      </w:r>
      <w:r>
        <w:rPr>
          <w:color w:val="000000"/>
        </w:rPr>
        <w:tab/>
        <w:t>(1)</w:t>
      </w:r>
    </w:p>
    <w:p w14:paraId="274FDA40" w14:textId="77777777" w:rsidR="00673FA6" w:rsidRDefault="001B2AB7">
      <w:pPr>
        <w:pBdr>
          <w:top w:val="nil"/>
          <w:left w:val="nil"/>
          <w:bottom w:val="nil"/>
          <w:right w:val="nil"/>
          <w:between w:val="nil"/>
        </w:pBdr>
        <w:tabs>
          <w:tab w:val="left" w:pos="3969"/>
        </w:tabs>
        <w:rPr>
          <w:color w:val="000000"/>
        </w:rPr>
      </w:pPr>
      <w:r>
        <w:rPr>
          <w:noProof/>
          <w:color w:val="000000"/>
          <w:sz w:val="36"/>
          <w:szCs w:val="36"/>
          <w:vertAlign w:val="subscript"/>
        </w:rPr>
        <w:drawing>
          <wp:inline distT="0" distB="0" distL="114300" distR="114300" wp14:anchorId="18DEEF76" wp14:editId="3B953DE3">
            <wp:extent cx="1781175" cy="352425"/>
            <wp:effectExtent l="0" t="0" r="0" b="0"/>
            <wp:docPr id="2"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9"/>
                    <a:srcRect/>
                    <a:stretch>
                      <a:fillRect/>
                    </a:stretch>
                  </pic:blipFill>
                  <pic:spPr>
                    <a:xfrm>
                      <a:off x="0" y="0"/>
                      <a:ext cx="1781175" cy="352425"/>
                    </a:xfrm>
                    <a:prstGeom prst="rect">
                      <a:avLst/>
                    </a:prstGeom>
                    <a:ln/>
                  </pic:spPr>
                </pic:pic>
              </a:graphicData>
            </a:graphic>
          </wp:inline>
        </w:drawing>
      </w:r>
      <w:r>
        <w:rPr>
          <w:color w:val="000000"/>
        </w:rPr>
        <w:tab/>
        <w:t>(2)</w:t>
      </w:r>
    </w:p>
    <w:p w14:paraId="3D747EC0" w14:textId="77777777" w:rsidR="00673FA6" w:rsidRDefault="001B2AB7">
      <w:pPr>
        <w:jc w:val="left"/>
      </w:pPr>
      <w:r>
        <w:t>The size of the symbols should be defined in the equation editor as follows: Full script 10 pt, Subscript and Superscript 7 pt, Sub-Subscript/Superscript 5 pt, Symbol 16 pt and Sub-Symbol 10 pt.</w:t>
      </w:r>
    </w:p>
    <w:p w14:paraId="392F59C0" w14:textId="77777777" w:rsidR="00673FA6" w:rsidRDefault="001B2AB7">
      <w:pPr>
        <w:pStyle w:val="Heading1"/>
      </w:pPr>
      <w:r>
        <w:t>ACKNOWLEDGMENTS</w:t>
      </w:r>
    </w:p>
    <w:p w14:paraId="6892F7F5" w14:textId="77777777" w:rsidR="00673FA6" w:rsidRDefault="001B2AB7">
      <w:r>
        <w:t>Your appreciation to employers, co-workers, department heads, and/or institutions that issued you a grant can be acknowledged in this section.</w:t>
      </w:r>
    </w:p>
    <w:p w14:paraId="693F70B5" w14:textId="77777777" w:rsidR="00673FA6" w:rsidRDefault="001B2AB7">
      <w:pPr>
        <w:pStyle w:val="Heading1"/>
      </w:pPr>
      <w:r>
        <w:t>REFERENCES</w:t>
      </w:r>
    </w:p>
    <w:p w14:paraId="41D3AF83" w14:textId="77777777" w:rsidR="00673FA6" w:rsidRDefault="00673FA6">
      <w:pPr>
        <w:spacing w:before="0"/>
        <w:rPr>
          <w:color w:val="C0C0C0"/>
        </w:rPr>
      </w:pPr>
    </w:p>
    <w:p w14:paraId="710113AC" w14:textId="77777777" w:rsidR="00673FA6" w:rsidRDefault="001B2AB7">
      <w:pPr>
        <w:pBdr>
          <w:top w:val="nil"/>
          <w:left w:val="nil"/>
          <w:bottom w:val="nil"/>
          <w:right w:val="nil"/>
          <w:between w:val="nil"/>
        </w:pBdr>
        <w:spacing w:before="0"/>
        <w:ind w:left="284" w:hanging="284"/>
        <w:rPr>
          <w:color w:val="000000"/>
          <w:sz w:val="18"/>
          <w:szCs w:val="18"/>
        </w:rPr>
      </w:pPr>
      <w:r>
        <w:rPr>
          <w:color w:val="000000"/>
          <w:sz w:val="18"/>
          <w:szCs w:val="18"/>
        </w:rPr>
        <w:t xml:space="preserve">[1] </w:t>
      </w:r>
      <w:r>
        <w:rPr>
          <w:sz w:val="18"/>
          <w:szCs w:val="18"/>
        </w:rPr>
        <w:t>D. R. Kornack, and P. Rakic, "Cell Proliferation Without Neurogenesis in Adult Primate Neocortex," Science, vol. 294, no. 5549, pp. 2127-2130, Dec. 2001.</w:t>
      </w:r>
      <w:r>
        <w:rPr>
          <w:sz w:val="18"/>
          <w:szCs w:val="18"/>
        </w:rPr>
        <w:br/>
      </w:r>
      <w:proofErr w:type="spellStart"/>
      <w:r>
        <w:rPr>
          <w:sz w:val="18"/>
          <w:szCs w:val="18"/>
        </w:rPr>
        <w:t>doi</w:t>
      </w:r>
      <w:proofErr w:type="spellEnd"/>
      <w:r>
        <w:rPr>
          <w:sz w:val="18"/>
          <w:szCs w:val="18"/>
        </w:rPr>
        <w:t>: 10.1126/science.1065467</w:t>
      </w:r>
      <w:r>
        <w:rPr>
          <w:color w:val="000000"/>
          <w:sz w:val="18"/>
          <w:szCs w:val="18"/>
        </w:rPr>
        <w:t>.</w:t>
      </w:r>
    </w:p>
    <w:p w14:paraId="515C9A94" w14:textId="77777777" w:rsidR="00673FA6" w:rsidRDefault="001B2AB7">
      <w:pPr>
        <w:pBdr>
          <w:top w:val="nil"/>
          <w:left w:val="nil"/>
          <w:bottom w:val="nil"/>
          <w:right w:val="nil"/>
          <w:between w:val="nil"/>
        </w:pBdr>
        <w:spacing w:before="0"/>
        <w:ind w:left="284" w:hanging="284"/>
        <w:rPr>
          <w:color w:val="000000"/>
          <w:sz w:val="18"/>
          <w:szCs w:val="18"/>
        </w:rPr>
      </w:pPr>
      <w:r>
        <w:rPr>
          <w:color w:val="000000"/>
          <w:sz w:val="18"/>
          <w:szCs w:val="18"/>
        </w:rPr>
        <w:t xml:space="preserve">[2] </w:t>
      </w:r>
      <w:r>
        <w:rPr>
          <w:sz w:val="18"/>
          <w:szCs w:val="18"/>
        </w:rPr>
        <w:t xml:space="preserve">G. O. Young, “Synthetic structure of industrial plastics,” in Plastics, vol. 3, Polymers of </w:t>
      </w:r>
      <w:proofErr w:type="spellStart"/>
      <w:r>
        <w:rPr>
          <w:sz w:val="18"/>
          <w:szCs w:val="18"/>
        </w:rPr>
        <w:t>Hexadromicon</w:t>
      </w:r>
      <w:proofErr w:type="spellEnd"/>
      <w:r>
        <w:rPr>
          <w:sz w:val="18"/>
          <w:szCs w:val="18"/>
        </w:rPr>
        <w:t>, J. Peters, Ed., 2nd ed. New York: McGraw-Hill, 1964, pp. 15-64.</w:t>
      </w:r>
    </w:p>
    <w:p w14:paraId="68A30B96" w14:textId="77777777" w:rsidR="00673FA6" w:rsidRDefault="00673FA6">
      <w:pPr>
        <w:pBdr>
          <w:top w:val="nil"/>
          <w:left w:val="nil"/>
          <w:bottom w:val="nil"/>
          <w:right w:val="nil"/>
          <w:between w:val="nil"/>
        </w:pBdr>
        <w:spacing w:before="0"/>
        <w:ind w:left="284" w:hanging="284"/>
        <w:rPr>
          <w:color w:val="000000"/>
        </w:rPr>
      </w:pPr>
    </w:p>
    <w:p w14:paraId="520061F1" w14:textId="77777777" w:rsidR="00673FA6" w:rsidRDefault="00673FA6">
      <w:pPr>
        <w:pBdr>
          <w:top w:val="nil"/>
          <w:left w:val="nil"/>
          <w:bottom w:val="nil"/>
          <w:right w:val="nil"/>
          <w:between w:val="nil"/>
        </w:pBdr>
        <w:spacing w:before="0"/>
        <w:ind w:left="284" w:hanging="284"/>
        <w:rPr>
          <w:color w:val="C0C0C0"/>
        </w:rPr>
        <w:sectPr w:rsidR="00673FA6">
          <w:type w:val="continuous"/>
          <w:pgSz w:w="11909" w:h="16834"/>
          <w:pgMar w:top="709" w:right="992" w:bottom="709" w:left="992" w:header="720" w:footer="720" w:gutter="0"/>
          <w:cols w:num="2" w:space="720" w:equalWidth="0">
            <w:col w:w="4602" w:space="720"/>
            <w:col w:w="4602" w:space="0"/>
          </w:cols>
        </w:sectPr>
      </w:pPr>
    </w:p>
    <w:p w14:paraId="73BA3C54" w14:textId="77777777" w:rsidR="00673FA6" w:rsidRDefault="00673FA6">
      <w:pPr>
        <w:pBdr>
          <w:top w:val="nil"/>
          <w:left w:val="nil"/>
          <w:bottom w:val="nil"/>
          <w:right w:val="nil"/>
          <w:between w:val="nil"/>
        </w:pBdr>
        <w:spacing w:before="0"/>
        <w:ind w:left="284" w:hanging="284"/>
        <w:jc w:val="center"/>
        <w:rPr>
          <w:color w:val="C0C0C0"/>
        </w:rPr>
      </w:pPr>
    </w:p>
    <w:p w14:paraId="4AA9644B" w14:textId="77777777" w:rsidR="00673FA6" w:rsidRDefault="00673FA6">
      <w:pPr>
        <w:pBdr>
          <w:top w:val="nil"/>
          <w:left w:val="nil"/>
          <w:bottom w:val="nil"/>
          <w:right w:val="nil"/>
          <w:between w:val="nil"/>
        </w:pBdr>
        <w:spacing w:before="0"/>
        <w:ind w:left="284" w:hanging="284"/>
        <w:jc w:val="center"/>
        <w:rPr>
          <w:color w:val="C0C0C0"/>
        </w:rPr>
      </w:pPr>
    </w:p>
    <w:p w14:paraId="5F795BCC" w14:textId="77777777" w:rsidR="00673FA6" w:rsidRDefault="00673FA6">
      <w:pPr>
        <w:jc w:val="left"/>
        <w:rPr>
          <w:sz w:val="40"/>
          <w:szCs w:val="40"/>
        </w:rPr>
      </w:pPr>
    </w:p>
    <w:sectPr w:rsidR="00673FA6">
      <w:type w:val="continuous"/>
      <w:pgSz w:w="11909" w:h="16834"/>
      <w:pgMar w:top="709" w:right="992" w:bottom="709" w:left="992"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017B3C" w14:textId="77777777" w:rsidR="003C3834" w:rsidRDefault="003C3834">
      <w:pPr>
        <w:spacing w:before="0"/>
      </w:pPr>
      <w:r>
        <w:separator/>
      </w:r>
    </w:p>
  </w:endnote>
  <w:endnote w:type="continuationSeparator" w:id="0">
    <w:p w14:paraId="39251654" w14:textId="77777777" w:rsidR="003C3834" w:rsidRDefault="003C3834">
      <w:pPr>
        <w:spacing w:before="0"/>
      </w:pPr>
      <w:r>
        <w:continuationSeparator/>
      </w:r>
    </w:p>
  </w:endnote>
  <w:endnote w:type="continuationNotice" w:id="1">
    <w:p w14:paraId="625D35DA" w14:textId="77777777" w:rsidR="003C3834" w:rsidRDefault="003C3834">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8E69D5" w14:textId="0916B8DF" w:rsidR="00673FA6" w:rsidRDefault="001B2AB7">
    <w:pPr>
      <w:pBdr>
        <w:top w:val="nil"/>
        <w:left w:val="nil"/>
        <w:bottom w:val="nil"/>
        <w:right w:val="nil"/>
        <w:between w:val="nil"/>
      </w:pBdr>
      <w:tabs>
        <w:tab w:val="right" w:pos="9639"/>
      </w:tabs>
      <w:spacing w:before="160"/>
      <w:rPr>
        <w:color w:val="000000"/>
        <w:sz w:val="16"/>
        <w:szCs w:val="16"/>
      </w:rPr>
    </w:pPr>
    <w:r>
      <w:rPr>
        <w:color w:val="000000"/>
        <w:sz w:val="16"/>
        <w:szCs w:val="16"/>
      </w:rPr>
      <w:tab/>
    </w:r>
    <w:r w:rsidR="00DA4A1F">
      <w:rPr>
        <w:color w:val="000000"/>
        <w:sz w:val="16"/>
        <w:szCs w:val="16"/>
      </w:rPr>
      <w:t>2</w:t>
    </w:r>
    <w:r w:rsidR="00DA4A1F" w:rsidRPr="00082B0E">
      <w:rPr>
        <w:color w:val="000000"/>
        <w:sz w:val="16"/>
        <w:szCs w:val="16"/>
        <w:vertAlign w:val="superscript"/>
      </w:rPr>
      <w:t>nd</w:t>
    </w:r>
    <w:r w:rsidR="00DA4A1F">
      <w:rPr>
        <w:color w:val="000000"/>
        <w:sz w:val="16"/>
        <w:szCs w:val="16"/>
      </w:rPr>
      <w:t xml:space="preserve"> – 4</w:t>
    </w:r>
    <w:r w:rsidR="00DA4A1F" w:rsidRPr="00082B0E">
      <w:rPr>
        <w:color w:val="000000"/>
        <w:sz w:val="16"/>
        <w:szCs w:val="16"/>
        <w:vertAlign w:val="superscript"/>
      </w:rPr>
      <w:t>th</w:t>
    </w:r>
    <w:r w:rsidR="00DA4A1F">
      <w:rPr>
        <w:color w:val="000000"/>
        <w:sz w:val="16"/>
        <w:szCs w:val="16"/>
      </w:rPr>
      <w:t xml:space="preserve"> November 2026, Tauranga</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EC3804" w14:textId="41978F55" w:rsidR="00673FA6" w:rsidRDefault="00082B0E">
    <w:pPr>
      <w:pBdr>
        <w:top w:val="nil"/>
        <w:left w:val="nil"/>
        <w:bottom w:val="nil"/>
        <w:right w:val="nil"/>
        <w:between w:val="nil"/>
      </w:pBdr>
      <w:tabs>
        <w:tab w:val="right" w:pos="9639"/>
      </w:tabs>
      <w:spacing w:before="160"/>
      <w:rPr>
        <w:color w:val="000000"/>
        <w:sz w:val="16"/>
        <w:szCs w:val="16"/>
      </w:rPr>
    </w:pPr>
    <w:r>
      <w:rPr>
        <w:color w:val="000000"/>
        <w:sz w:val="16"/>
        <w:szCs w:val="16"/>
      </w:rPr>
      <w:t>2</w:t>
    </w:r>
    <w:r w:rsidRPr="00082B0E">
      <w:rPr>
        <w:color w:val="000000"/>
        <w:sz w:val="16"/>
        <w:szCs w:val="16"/>
        <w:vertAlign w:val="superscript"/>
      </w:rPr>
      <w:t>nd</w:t>
    </w:r>
    <w:r>
      <w:rPr>
        <w:color w:val="000000"/>
        <w:sz w:val="16"/>
        <w:szCs w:val="16"/>
      </w:rPr>
      <w:t xml:space="preserve"> – 4</w:t>
    </w:r>
    <w:r w:rsidRPr="00082B0E">
      <w:rPr>
        <w:color w:val="000000"/>
        <w:sz w:val="16"/>
        <w:szCs w:val="16"/>
        <w:vertAlign w:val="superscript"/>
      </w:rPr>
      <w:t>th</w:t>
    </w:r>
    <w:r>
      <w:rPr>
        <w:color w:val="000000"/>
        <w:sz w:val="16"/>
        <w:szCs w:val="16"/>
      </w:rPr>
      <w:t xml:space="preserve"> </w:t>
    </w:r>
    <w:r w:rsidR="00DA4A1F">
      <w:rPr>
        <w:color w:val="000000"/>
        <w:sz w:val="16"/>
        <w:szCs w:val="16"/>
      </w:rPr>
      <w:t>November</w:t>
    </w:r>
    <w:r>
      <w:rPr>
        <w:color w:val="000000"/>
        <w:sz w:val="16"/>
        <w:szCs w:val="16"/>
      </w:rPr>
      <w:t xml:space="preserve"> 202</w:t>
    </w:r>
    <w:r w:rsidR="00DA4A1F">
      <w:rPr>
        <w:color w:val="000000"/>
        <w:sz w:val="16"/>
        <w:szCs w:val="16"/>
      </w:rPr>
      <w:t>6</w:t>
    </w:r>
    <w:r>
      <w:rPr>
        <w:color w:val="000000"/>
        <w:sz w:val="16"/>
        <w:szCs w:val="16"/>
      </w:rPr>
      <w:t xml:space="preserve">, </w:t>
    </w:r>
    <w:r w:rsidR="00DA4A1F">
      <w:rPr>
        <w:color w:val="000000"/>
        <w:sz w:val="16"/>
        <w:szCs w:val="16"/>
      </w:rPr>
      <w:t>Tauranga</w:t>
    </w:r>
    <w:r w:rsidR="001B2AB7">
      <w:rPr>
        <w:color w:val="000000"/>
        <w:sz w:val="16"/>
        <w:szCs w:val="16"/>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5E72E7" w14:textId="77777777" w:rsidR="004068E5" w:rsidRDefault="004068E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F3801A" w14:textId="77777777" w:rsidR="003C3834" w:rsidRDefault="003C3834">
      <w:pPr>
        <w:spacing w:before="0"/>
      </w:pPr>
      <w:r>
        <w:separator/>
      </w:r>
    </w:p>
  </w:footnote>
  <w:footnote w:type="continuationSeparator" w:id="0">
    <w:p w14:paraId="2E1098FC" w14:textId="77777777" w:rsidR="003C3834" w:rsidRDefault="003C3834">
      <w:pPr>
        <w:spacing w:before="0"/>
      </w:pPr>
      <w:r>
        <w:continuationSeparator/>
      </w:r>
    </w:p>
  </w:footnote>
  <w:footnote w:type="continuationNotice" w:id="1">
    <w:p w14:paraId="5034C95B" w14:textId="77777777" w:rsidR="003C3834" w:rsidRDefault="003C3834">
      <w:pPr>
        <w:spacing w:before="0"/>
      </w:pPr>
    </w:p>
  </w:footnote>
  <w:footnote w:id="2">
    <w:p w14:paraId="65F351A4" w14:textId="77777777" w:rsidR="00673FA6" w:rsidRDefault="001B2AB7">
      <w:pPr>
        <w:pBdr>
          <w:top w:val="nil"/>
          <w:left w:val="nil"/>
          <w:bottom w:val="nil"/>
          <w:right w:val="nil"/>
          <w:between w:val="nil"/>
        </w:pBdr>
        <w:jc w:val="left"/>
        <w:rPr>
          <w:color w:val="000000"/>
          <w:sz w:val="16"/>
          <w:szCs w:val="16"/>
        </w:rPr>
      </w:pPr>
      <w:r>
        <w:rPr>
          <w:vertAlign w:val="superscript"/>
        </w:rPr>
        <w:footnoteRef/>
      </w:r>
      <w:r>
        <w:rPr>
          <w:color w:val="000000"/>
          <w:sz w:val="16"/>
          <w:szCs w:val="16"/>
        </w:rPr>
        <w:t xml:space="preserve"> This is an example of footnote text formatting.</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9518E2" w14:textId="276AE2CF" w:rsidR="00673FA6" w:rsidRDefault="001B2AB7">
    <w:pPr>
      <w:pBdr>
        <w:top w:val="nil"/>
        <w:left w:val="nil"/>
        <w:bottom w:val="nil"/>
        <w:right w:val="nil"/>
        <w:between w:val="nil"/>
      </w:pBdr>
      <w:tabs>
        <w:tab w:val="right" w:pos="9639"/>
      </w:tabs>
      <w:spacing w:before="0" w:after="160"/>
      <w:rPr>
        <w:color w:val="000000"/>
        <w:sz w:val="16"/>
        <w:szCs w:val="16"/>
      </w:rPr>
    </w:pPr>
    <w:r>
      <w:rPr>
        <w:color w:val="000000"/>
        <w:sz w:val="16"/>
        <w:szCs w:val="16"/>
      </w:rPr>
      <w:tab/>
    </w:r>
    <w:r>
      <w:rPr>
        <w:sz w:val="16"/>
        <w:szCs w:val="16"/>
      </w:rPr>
      <w:t xml:space="preserve">Conference of the Acoustical Society of New Zealand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B3F263" w14:textId="08EA509B" w:rsidR="00673FA6" w:rsidRDefault="001B2AB7">
    <w:pPr>
      <w:pBdr>
        <w:top w:val="nil"/>
        <w:left w:val="nil"/>
        <w:bottom w:val="nil"/>
        <w:right w:val="nil"/>
        <w:between w:val="nil"/>
      </w:pBdr>
      <w:tabs>
        <w:tab w:val="right" w:pos="9639"/>
      </w:tabs>
      <w:spacing w:before="0" w:after="160"/>
      <w:rPr>
        <w:color w:val="000000"/>
        <w:sz w:val="16"/>
        <w:szCs w:val="16"/>
      </w:rPr>
    </w:pPr>
    <w:r>
      <w:rPr>
        <w:color w:val="000000"/>
        <w:sz w:val="16"/>
        <w:szCs w:val="16"/>
      </w:rPr>
      <w:t>Conference of the Acoustical Society of New Zealand</w:t>
    </w:r>
    <w:r>
      <w:rPr>
        <w:color w:val="000000"/>
        <w:sz w:val="16"/>
        <w:szCs w:val="16"/>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AA905E" w14:textId="77777777" w:rsidR="004068E5" w:rsidRDefault="004068E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FF1512"/>
    <w:multiLevelType w:val="multilevel"/>
    <w:tmpl w:val="F2EAA622"/>
    <w:lvl w:ilvl="0">
      <w:start w:val="1"/>
      <w:numFmt w:val="bullet"/>
      <w:lvlText w:val="●"/>
      <w:lvlJc w:val="left"/>
      <w:pPr>
        <w:ind w:left="-820" w:hanging="360"/>
      </w:pPr>
      <w:rPr>
        <w:rFonts w:ascii="Noto Sans Symbols" w:eastAsia="Noto Sans Symbols" w:hAnsi="Noto Sans Symbols" w:cs="Noto Sans Symbols"/>
        <w:color w:val="000000"/>
      </w:rPr>
    </w:lvl>
    <w:lvl w:ilvl="1">
      <w:start w:val="1"/>
      <w:numFmt w:val="bullet"/>
      <w:lvlText w:val="o"/>
      <w:lvlJc w:val="left"/>
      <w:pPr>
        <w:ind w:left="-840" w:hanging="360"/>
      </w:pPr>
      <w:rPr>
        <w:rFonts w:ascii="Courier New" w:eastAsia="Courier New" w:hAnsi="Courier New" w:cs="Courier New"/>
      </w:rPr>
    </w:lvl>
    <w:lvl w:ilvl="2">
      <w:start w:val="1"/>
      <w:numFmt w:val="bullet"/>
      <w:lvlText w:val="▪"/>
      <w:lvlJc w:val="left"/>
      <w:pPr>
        <w:ind w:left="-120" w:hanging="360"/>
      </w:pPr>
      <w:rPr>
        <w:rFonts w:ascii="Noto Sans Symbols" w:eastAsia="Noto Sans Symbols" w:hAnsi="Noto Sans Symbols" w:cs="Noto Sans Symbols"/>
      </w:rPr>
    </w:lvl>
    <w:lvl w:ilvl="3">
      <w:start w:val="1"/>
      <w:numFmt w:val="bullet"/>
      <w:lvlText w:val="●"/>
      <w:lvlJc w:val="left"/>
      <w:pPr>
        <w:ind w:left="600" w:hanging="360"/>
      </w:pPr>
      <w:rPr>
        <w:rFonts w:ascii="Noto Sans Symbols" w:eastAsia="Noto Sans Symbols" w:hAnsi="Noto Sans Symbols" w:cs="Noto Sans Symbols"/>
      </w:rPr>
    </w:lvl>
    <w:lvl w:ilvl="4">
      <w:start w:val="1"/>
      <w:numFmt w:val="bullet"/>
      <w:lvlText w:val="o"/>
      <w:lvlJc w:val="left"/>
      <w:pPr>
        <w:ind w:left="1320" w:hanging="360"/>
      </w:pPr>
      <w:rPr>
        <w:rFonts w:ascii="Courier New" w:eastAsia="Courier New" w:hAnsi="Courier New" w:cs="Courier New"/>
      </w:rPr>
    </w:lvl>
    <w:lvl w:ilvl="5">
      <w:start w:val="1"/>
      <w:numFmt w:val="bullet"/>
      <w:lvlText w:val="▪"/>
      <w:lvlJc w:val="left"/>
      <w:pPr>
        <w:ind w:left="2040" w:hanging="360"/>
      </w:pPr>
      <w:rPr>
        <w:rFonts w:ascii="Noto Sans Symbols" w:eastAsia="Noto Sans Symbols" w:hAnsi="Noto Sans Symbols" w:cs="Noto Sans Symbols"/>
      </w:rPr>
    </w:lvl>
    <w:lvl w:ilvl="6">
      <w:start w:val="1"/>
      <w:numFmt w:val="bullet"/>
      <w:lvlText w:val="●"/>
      <w:lvlJc w:val="left"/>
      <w:pPr>
        <w:ind w:left="2760" w:hanging="360"/>
      </w:pPr>
      <w:rPr>
        <w:rFonts w:ascii="Noto Sans Symbols" w:eastAsia="Noto Sans Symbols" w:hAnsi="Noto Sans Symbols" w:cs="Noto Sans Symbols"/>
      </w:rPr>
    </w:lvl>
    <w:lvl w:ilvl="7">
      <w:start w:val="1"/>
      <w:numFmt w:val="bullet"/>
      <w:lvlText w:val="o"/>
      <w:lvlJc w:val="left"/>
      <w:pPr>
        <w:ind w:left="3480" w:hanging="360"/>
      </w:pPr>
      <w:rPr>
        <w:rFonts w:ascii="Courier New" w:eastAsia="Courier New" w:hAnsi="Courier New" w:cs="Courier New"/>
      </w:rPr>
    </w:lvl>
    <w:lvl w:ilvl="8">
      <w:start w:val="1"/>
      <w:numFmt w:val="bullet"/>
      <w:lvlText w:val="▪"/>
      <w:lvlJc w:val="left"/>
      <w:pPr>
        <w:ind w:left="4200" w:hanging="360"/>
      </w:pPr>
      <w:rPr>
        <w:rFonts w:ascii="Noto Sans Symbols" w:eastAsia="Noto Sans Symbols" w:hAnsi="Noto Sans Symbols" w:cs="Noto Sans Symbols"/>
      </w:rPr>
    </w:lvl>
  </w:abstractNum>
  <w:num w:numId="1" w16cid:durableId="18052699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revisionView w:inkAnnotations="0"/>
  <w:defaultTabStop w:val="720"/>
  <w:evenAndOddHeaders/>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3FA6"/>
    <w:rsid w:val="00014DBA"/>
    <w:rsid w:val="000332E6"/>
    <w:rsid w:val="00042590"/>
    <w:rsid w:val="00082B0E"/>
    <w:rsid w:val="000C33FC"/>
    <w:rsid w:val="00135F0E"/>
    <w:rsid w:val="001B2AB7"/>
    <w:rsid w:val="0020416D"/>
    <w:rsid w:val="0021674E"/>
    <w:rsid w:val="002F5C32"/>
    <w:rsid w:val="003C3834"/>
    <w:rsid w:val="004068E5"/>
    <w:rsid w:val="005551C0"/>
    <w:rsid w:val="00660B4E"/>
    <w:rsid w:val="00673FA6"/>
    <w:rsid w:val="007114A2"/>
    <w:rsid w:val="00717B90"/>
    <w:rsid w:val="00736320"/>
    <w:rsid w:val="00897D3C"/>
    <w:rsid w:val="0092562C"/>
    <w:rsid w:val="009D5684"/>
    <w:rsid w:val="00A30001"/>
    <w:rsid w:val="00AA1C73"/>
    <w:rsid w:val="00AE0E61"/>
    <w:rsid w:val="00B56E40"/>
    <w:rsid w:val="00B61031"/>
    <w:rsid w:val="00BD3B34"/>
    <w:rsid w:val="00D2519A"/>
    <w:rsid w:val="00DA4A1F"/>
    <w:rsid w:val="00E93EB3"/>
    <w:rsid w:val="00F956DF"/>
    <w:rsid w:val="00FB701E"/>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815573"/>
  <w15:docId w15:val="{F7B1427E-92D7-4767-90FC-DE3E59A84D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NZ" w:eastAsia="en-NZ" w:bidi="ar-SA"/>
      </w:rPr>
    </w:rPrDefault>
    <w:pPrDefault>
      <w:pPr>
        <w:spacing w:before="18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spacing w:before="240"/>
      <w:jc w:val="left"/>
      <w:outlineLvl w:val="0"/>
    </w:pPr>
    <w:rPr>
      <w:rFonts w:ascii="Arial" w:eastAsia="Arial" w:hAnsi="Arial" w:cs="Arial"/>
      <w:b/>
      <w:smallCaps/>
    </w:rPr>
  </w:style>
  <w:style w:type="paragraph" w:styleId="Heading2">
    <w:name w:val="heading 2"/>
    <w:basedOn w:val="Normal"/>
    <w:next w:val="Normal"/>
    <w:uiPriority w:val="9"/>
    <w:unhideWhenUsed/>
    <w:qFormat/>
    <w:pPr>
      <w:keepNext/>
      <w:outlineLvl w:val="1"/>
    </w:pPr>
    <w:rPr>
      <w:rFonts w:ascii="Arial" w:eastAsia="Arial" w:hAnsi="Arial" w:cs="Arial"/>
      <w:b/>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spacing w:before="360" w:after="360"/>
      <w:jc w:val="center"/>
    </w:pPr>
    <w:rPr>
      <w:rFonts w:ascii="Arial" w:eastAsia="Arial" w:hAnsi="Arial" w:cs="Arial"/>
      <w:b/>
      <w:sz w:val="36"/>
      <w:szCs w:val="36"/>
    </w:rPr>
  </w:style>
  <w:style w:type="paragraph" w:styleId="Subtitle">
    <w:name w:val="Subtitle"/>
    <w:basedOn w:val="Normal"/>
    <w:next w:val="Normal"/>
    <w:uiPriority w:val="11"/>
    <w:qFormat/>
    <w:pPr>
      <w:jc w:val="center"/>
    </w:pPr>
    <w:rPr>
      <w:i/>
    </w:rPr>
  </w:style>
  <w:style w:type="table" w:customStyle="1" w:styleId="a">
    <w:basedOn w:val="TableNormal"/>
    <w:tblPr>
      <w:tblStyleRowBandSize w:val="1"/>
      <w:tblStyleColBandSize w:val="1"/>
      <w:tblCellMar>
        <w:left w:w="115" w:type="dxa"/>
        <w:right w:w="115" w:type="dxa"/>
      </w:tblCellMar>
    </w:tblPr>
  </w:style>
  <w:style w:type="paragraph" w:styleId="Header">
    <w:name w:val="header"/>
    <w:basedOn w:val="Normal"/>
    <w:link w:val="HeaderChar"/>
    <w:uiPriority w:val="99"/>
    <w:unhideWhenUsed/>
    <w:rsid w:val="000C33FC"/>
    <w:pPr>
      <w:tabs>
        <w:tab w:val="center" w:pos="4513"/>
        <w:tab w:val="right" w:pos="9026"/>
      </w:tabs>
      <w:spacing w:before="0"/>
    </w:pPr>
  </w:style>
  <w:style w:type="character" w:customStyle="1" w:styleId="HeaderChar">
    <w:name w:val="Header Char"/>
    <w:basedOn w:val="DefaultParagraphFont"/>
    <w:link w:val="Header"/>
    <w:uiPriority w:val="99"/>
    <w:rsid w:val="000C33FC"/>
  </w:style>
  <w:style w:type="paragraph" w:styleId="Footer">
    <w:name w:val="footer"/>
    <w:basedOn w:val="Normal"/>
    <w:link w:val="FooterChar"/>
    <w:uiPriority w:val="99"/>
    <w:unhideWhenUsed/>
    <w:rsid w:val="000C33FC"/>
    <w:pPr>
      <w:tabs>
        <w:tab w:val="center" w:pos="4513"/>
        <w:tab w:val="right" w:pos="9026"/>
      </w:tabs>
      <w:spacing w:before="0"/>
    </w:pPr>
  </w:style>
  <w:style w:type="character" w:customStyle="1" w:styleId="FooterChar">
    <w:name w:val="Footer Char"/>
    <w:basedOn w:val="DefaultParagraphFont"/>
    <w:link w:val="Footer"/>
    <w:uiPriority w:val="99"/>
    <w:rsid w:val="000C33F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image" Target="media/image2.png"/><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image" Target="media/image1.jpg"/><Relationship Id="rId2" Type="http://schemas.openxmlformats.org/officeDocument/2006/relationships/customXml" Target="../customXml/item2.xml"/><Relationship Id="rId16" Type="http://schemas.openxmlformats.org/officeDocument/2006/relationships/hyperlink" Target="https://guides.lib.monash.edu/citing-referencing/ieee"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image" Target="media/image3.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fe25bf4-2556-4285-8817-baea03bce9bd">
      <Terms xmlns="http://schemas.microsoft.com/office/infopath/2007/PartnerControls"/>
    </lcf76f155ced4ddcb4097134ff3c332f>
    <TaxCatchAll xmlns="321ac85e-4080-4924-b606-03176617ea3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0C4CC2930BC214A94B1F222C9B473F0" ma:contentTypeVersion="19" ma:contentTypeDescription="Create a new document." ma:contentTypeScope="" ma:versionID="f5b9e6c6d39834ff02b2448fb475a693">
  <xsd:schema xmlns:xsd="http://www.w3.org/2001/XMLSchema" xmlns:xs="http://www.w3.org/2001/XMLSchema" xmlns:p="http://schemas.microsoft.com/office/2006/metadata/properties" xmlns:ns2="2fe25bf4-2556-4285-8817-baea03bce9bd" xmlns:ns3="321ac85e-4080-4924-b606-03176617ea33" targetNamespace="http://schemas.microsoft.com/office/2006/metadata/properties" ma:root="true" ma:fieldsID="8f87a3caa774e818908bc53c1032f3c5" ns2:_="" ns3:_="">
    <xsd:import namespace="2fe25bf4-2556-4285-8817-baea03bce9bd"/>
    <xsd:import namespace="321ac85e-4080-4924-b606-03176617ea3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3:SharedWithUsers" minOccurs="0"/>
                <xsd:element ref="ns3:SharedWithDetail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e25bf4-2556-4285-8817-baea03bce9b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29999f0-1615-46c1-833c-bdbf94a9aec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21ac85e-4080-4924-b606-03176617ea33"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3a422e92-e352-4f27-a760-aa09d3148291}" ma:internalName="TaxCatchAll" ma:showField="CatchAllData" ma:web="321ac85e-4080-4924-b606-03176617ea33">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399DBB3-F181-4A3C-BE5C-CD57D6B3BE65}">
  <ds:schemaRefs>
    <ds:schemaRef ds:uri="http://schemas.microsoft.com/office/2006/metadata/properties"/>
    <ds:schemaRef ds:uri="http://schemas.microsoft.com/office/infopath/2007/PartnerControls"/>
    <ds:schemaRef ds:uri="2fe25bf4-2556-4285-8817-baea03bce9bd"/>
    <ds:schemaRef ds:uri="321ac85e-4080-4924-b606-03176617ea33"/>
  </ds:schemaRefs>
</ds:datastoreItem>
</file>

<file path=customXml/itemProps2.xml><?xml version="1.0" encoding="utf-8"?>
<ds:datastoreItem xmlns:ds="http://schemas.openxmlformats.org/officeDocument/2006/customXml" ds:itemID="{418DD4BF-B995-4CE2-9B8B-676C61B422AE}">
  <ds:schemaRefs>
    <ds:schemaRef ds:uri="http://schemas.microsoft.com/sharepoint/v3/contenttype/forms"/>
  </ds:schemaRefs>
</ds:datastoreItem>
</file>

<file path=customXml/itemProps3.xml><?xml version="1.0" encoding="utf-8"?>
<ds:datastoreItem xmlns:ds="http://schemas.openxmlformats.org/officeDocument/2006/customXml" ds:itemID="{90FBEF23-A1B4-41A1-AC10-89165EDEAB6E}"/>
</file>

<file path=docProps/app.xml><?xml version="1.0" encoding="utf-8"?>
<Properties xmlns="http://schemas.openxmlformats.org/officeDocument/2006/extended-properties" xmlns:vt="http://schemas.openxmlformats.org/officeDocument/2006/docPropsVTypes">
  <Template>Normal</Template>
  <TotalTime>2</TotalTime>
  <Pages>2</Pages>
  <Words>998</Words>
  <Characters>5102</Characters>
  <Application>Microsoft Office Word</Application>
  <DocSecurity>0</DocSecurity>
  <Lines>154</Lines>
  <Paragraphs>70</Paragraphs>
  <ScaleCrop>false</ScaleCrop>
  <Company/>
  <LinksUpToDate>false</LinksUpToDate>
  <CharactersWithSpaces>6030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Tracy Young</dc:creator>
  <cp:lastModifiedBy>Tracy Young</cp:lastModifiedBy>
  <cp:revision>2</cp:revision>
  <cp:lastPrinted>2020-01-27T23:06:00Z</cp:lastPrinted>
  <dcterms:created xsi:type="dcterms:W3CDTF">2026-01-21T20:54:00Z</dcterms:created>
  <dcterms:modified xsi:type="dcterms:W3CDTF">2026-01-21T20:54:00Z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0x01010070C4CC2930BC214A94B1F222C9B473F0</vt:lpwstr>
  </property>
  <property fmtid="{D5CDD505-2E9C-101B-9397-08002B2CF9AE}" pid="3" name="Order">
    <vt:r8>22876900</vt:r8>
  </property>
  <property fmtid="{D5CDD505-2E9C-101B-9397-08002B2CF9AE}" pid="4" name="ComplianceAssetId">
    <vt:lpwstr/>
  </property>
  <property fmtid="{D5CDD505-2E9C-101B-9397-08002B2CF9AE}" pid="5" name="MediaServiceImageTags">
    <vt:lpwstr/>
  </property>
</Properties>
</file>